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D374" w14:textId="77777777" w:rsidR="003A365B" w:rsidRPr="003A365B" w:rsidRDefault="003A365B" w:rsidP="003A365B">
      <w:pPr>
        <w:spacing w:before="68" w:after="100" w:afterAutospacing="1" w:line="240" w:lineRule="auto"/>
        <w:ind w:right="550"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b/>
          <w:bCs/>
          <w:kern w:val="0"/>
          <w:sz w:val="27"/>
          <w:szCs w:val="27"/>
          <w:lang w:eastAsia="ru-RU"/>
          <w14:ligatures w14:val="none"/>
        </w:rPr>
        <w:t>Лекция 7</w:t>
      </w:r>
    </w:p>
    <w:p w14:paraId="6D48D4F7" w14:textId="77777777" w:rsidR="003A365B" w:rsidRPr="003A365B" w:rsidRDefault="003A365B" w:rsidP="003A365B">
      <w:pPr>
        <w:spacing w:before="142" w:after="100" w:afterAutospacing="1" w:line="360" w:lineRule="auto"/>
        <w:ind w:right="556"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b/>
          <w:bCs/>
          <w:kern w:val="0"/>
          <w:sz w:val="27"/>
          <w:szCs w:val="27"/>
          <w:lang w:eastAsia="ru-RU"/>
          <w14:ligatures w14:val="none"/>
        </w:rPr>
        <w:t>СЛУХОВЫЕ АГНОЗИИ. КРАТКАЯ ХАРАКТЕРИСТИКА НАРУШЕНИЙ ВОСПРИЯТИЯ РЕЧЕВОЙ И НЕРЕЧЕВОЙ СЛУХОВОЙ ИНФОРМАЦИИ. МЕТОДИКИ ВЫЯВЛЕНИЯ</w:t>
      </w:r>
    </w:p>
    <w:p w14:paraId="1E1F010B" w14:textId="77777777"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2677B979" w14:textId="77777777"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Прежде чем рассматривать слуховые агнозии, напомним, что слуховая система человека обеспечивает речь. Слуховой анализатор человека приспособлен к восприятию и анализу не только неречевых звуков (музыкальных тонов и бытовых шумов), но и звуков речи (родного или других языков).</w:t>
      </w:r>
    </w:p>
    <w:p w14:paraId="5A130C74" w14:textId="77777777"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 xml:space="preserve">Деятельность слухового анализатора человека обеспечивается двумя самостоятельными функциональными системами: речевого и неречевого слуха. Данные функциональные системы имеют общие периферические и проводниковые звенья. В пределах коры больших полушарий они различаются, что наиболее наглядно обнаруживается при поражении левой и правой височных областей конвекситальной коры (симптомы поражения данных областей будут различными). Строение и функции височных отделов мозга являются достаточно сложными, они обеспечивают не только собственно слуховой анализ и синтез, но и другие формы психического отражения. Слуховые агнозии – нарушения слухового восприятия. Делятся на </w:t>
      </w:r>
      <w:r w:rsidRPr="003A365B">
        <w:rPr>
          <w:rFonts w:ascii="Times New Roman" w:eastAsia="Times New Roman" w:hAnsi="Times New Roman" w:cs="Times New Roman"/>
          <w:kern w:val="0"/>
          <w:sz w:val="24"/>
          <w:szCs w:val="24"/>
          <w:u w:val="single"/>
          <w:lang w:eastAsia="ru-RU"/>
          <w14:ligatures w14:val="none"/>
        </w:rPr>
        <w:t>слуховые</w:t>
      </w:r>
      <w:r w:rsidRPr="003A365B">
        <w:rPr>
          <w:rFonts w:ascii="Times New Roman" w:eastAsia="Times New Roman" w:hAnsi="Times New Roman" w:cs="Times New Roman"/>
          <w:kern w:val="0"/>
          <w:sz w:val="24"/>
          <w:szCs w:val="24"/>
          <w:lang w:eastAsia="ru-RU"/>
          <w14:ligatures w14:val="none"/>
        </w:rPr>
        <w:t xml:space="preserve"> </w:t>
      </w:r>
      <w:r w:rsidRPr="003A365B">
        <w:rPr>
          <w:rFonts w:ascii="Times New Roman" w:eastAsia="Times New Roman" w:hAnsi="Times New Roman" w:cs="Times New Roman"/>
          <w:kern w:val="0"/>
          <w:sz w:val="24"/>
          <w:szCs w:val="24"/>
          <w:u w:val="single"/>
          <w:lang w:eastAsia="ru-RU"/>
          <w14:ligatures w14:val="none"/>
        </w:rPr>
        <w:t>речевые</w:t>
      </w:r>
      <w:r w:rsidRPr="003A365B">
        <w:rPr>
          <w:rFonts w:ascii="Times New Roman" w:eastAsia="Times New Roman" w:hAnsi="Times New Roman" w:cs="Times New Roman"/>
          <w:kern w:val="0"/>
          <w:sz w:val="24"/>
          <w:szCs w:val="24"/>
          <w:lang w:eastAsia="ru-RU"/>
          <w14:ligatures w14:val="none"/>
        </w:rPr>
        <w:t xml:space="preserve"> и </w:t>
      </w:r>
      <w:r w:rsidRPr="003A365B">
        <w:rPr>
          <w:rFonts w:ascii="Times New Roman" w:eastAsia="Times New Roman" w:hAnsi="Times New Roman" w:cs="Times New Roman"/>
          <w:kern w:val="0"/>
          <w:sz w:val="24"/>
          <w:szCs w:val="24"/>
          <w:u w:val="single"/>
          <w:lang w:eastAsia="ru-RU"/>
          <w14:ligatures w14:val="none"/>
        </w:rPr>
        <w:t>слуховые неречевые</w:t>
      </w:r>
      <w:r w:rsidRPr="003A365B">
        <w:rPr>
          <w:rFonts w:ascii="Times New Roman" w:eastAsia="Times New Roman" w:hAnsi="Times New Roman" w:cs="Times New Roman"/>
          <w:kern w:val="0"/>
          <w:sz w:val="24"/>
          <w:szCs w:val="24"/>
          <w:lang w:eastAsia="ru-RU"/>
          <w14:ligatures w14:val="none"/>
        </w:rPr>
        <w:t xml:space="preserve"> (табл. 3). Возникают при поражении вторичных отделов височных областей соответственно левого и правого полушарий.</w:t>
      </w:r>
    </w:p>
    <w:p w14:paraId="27D1B282" w14:textId="77777777"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b/>
          <w:bCs/>
          <w:kern w:val="0"/>
          <w:sz w:val="27"/>
          <w:szCs w:val="27"/>
          <w:lang w:eastAsia="ru-RU"/>
          <w14:ligatures w14:val="none"/>
        </w:rPr>
        <w:t>Таблица 3</w:t>
      </w:r>
    </w:p>
    <w:p w14:paraId="1F3C9D3F" w14:textId="7E2C16B4"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b/>
          <w:bCs/>
          <w:kern w:val="0"/>
          <w:sz w:val="27"/>
          <w:szCs w:val="27"/>
          <w:lang w:eastAsia="ru-RU"/>
          <w14:ligatures w14:val="none"/>
        </w:rPr>
        <w:t>Слуховые (речевые и неречевые) агнозии и методики их выявления</w:t>
      </w:r>
    </w:p>
    <w:tbl>
      <w:tblPr>
        <w:tblW w:w="952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1132"/>
        <w:gridCol w:w="1711"/>
        <w:gridCol w:w="2118"/>
        <w:gridCol w:w="1504"/>
        <w:gridCol w:w="1755"/>
        <w:gridCol w:w="1440"/>
      </w:tblGrid>
      <w:tr w:rsidR="003A365B" w:rsidRPr="003A365B" w14:paraId="4C4D38DE" w14:textId="77777777" w:rsidTr="003A365B">
        <w:trPr>
          <w:trHeight w:val="690"/>
          <w:tblCellSpacing w:w="0" w:type="dxa"/>
        </w:trPr>
        <w:tc>
          <w:tcPr>
            <w:tcW w:w="1080" w:type="dxa"/>
            <w:tcBorders>
              <w:top w:val="outset" w:sz="6" w:space="0" w:color="000001"/>
              <w:left w:val="outset" w:sz="6" w:space="0" w:color="000001"/>
              <w:bottom w:val="outset" w:sz="6" w:space="0" w:color="000001"/>
              <w:right w:val="outset" w:sz="6" w:space="0" w:color="000001"/>
            </w:tcBorders>
            <w:hideMark/>
          </w:tcPr>
          <w:p w14:paraId="73693347" w14:textId="77777777" w:rsidR="003A365B" w:rsidRPr="003A365B" w:rsidRDefault="003A365B" w:rsidP="003A365B">
            <w:pPr>
              <w:spacing w:before="100" w:beforeAutospacing="1" w:after="100" w:afterAutospacing="1" w:line="240" w:lineRule="auto"/>
              <w:ind w:right="11"/>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Группы агнозий</w:t>
            </w:r>
          </w:p>
        </w:tc>
        <w:tc>
          <w:tcPr>
            <w:tcW w:w="1365" w:type="dxa"/>
            <w:tcBorders>
              <w:top w:val="outset" w:sz="6" w:space="0" w:color="000001"/>
              <w:left w:val="outset" w:sz="6" w:space="0" w:color="000001"/>
              <w:bottom w:val="outset" w:sz="6" w:space="0" w:color="000001"/>
              <w:right w:val="outset" w:sz="6" w:space="0" w:color="000001"/>
            </w:tcBorders>
            <w:hideMark/>
          </w:tcPr>
          <w:p w14:paraId="25E1303E"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Times New Roman" w:eastAsia="Times New Roman" w:hAnsi="Times New Roman" w:cs="Times New Roman"/>
                <w:kern w:val="0"/>
                <w:sz w:val="20"/>
                <w:szCs w:val="20"/>
                <w:lang w:val="en-US" w:eastAsia="ru-RU"/>
                <w14:ligatures w14:val="none"/>
              </w:rPr>
              <w:t>Варианты</w:t>
            </w:r>
          </w:p>
        </w:tc>
        <w:tc>
          <w:tcPr>
            <w:tcW w:w="1170" w:type="dxa"/>
            <w:tcBorders>
              <w:top w:val="outset" w:sz="6" w:space="0" w:color="000001"/>
              <w:left w:val="outset" w:sz="6" w:space="0" w:color="000001"/>
              <w:bottom w:val="outset" w:sz="6" w:space="0" w:color="000001"/>
              <w:right w:val="outset" w:sz="6" w:space="0" w:color="000001"/>
            </w:tcBorders>
            <w:hideMark/>
          </w:tcPr>
          <w:p w14:paraId="4B048155" w14:textId="77777777" w:rsidR="003A365B" w:rsidRPr="003A365B" w:rsidRDefault="003A365B" w:rsidP="003A365B">
            <w:pPr>
              <w:spacing w:before="100" w:beforeAutospacing="1" w:after="100" w:afterAutospacing="1" w:line="240" w:lineRule="auto"/>
              <w:ind w:right="164"/>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Локализация поражения</w:t>
            </w:r>
          </w:p>
        </w:tc>
        <w:tc>
          <w:tcPr>
            <w:tcW w:w="1155" w:type="dxa"/>
            <w:tcBorders>
              <w:top w:val="outset" w:sz="6" w:space="0" w:color="000001"/>
              <w:left w:val="outset" w:sz="6" w:space="0" w:color="000001"/>
              <w:bottom w:val="outset" w:sz="6" w:space="0" w:color="000001"/>
              <w:right w:val="outset" w:sz="6" w:space="0" w:color="000001"/>
            </w:tcBorders>
            <w:hideMark/>
          </w:tcPr>
          <w:p w14:paraId="06E2664F" w14:textId="77777777" w:rsidR="003A365B" w:rsidRPr="003A365B" w:rsidRDefault="003A365B" w:rsidP="003A365B">
            <w:pPr>
              <w:spacing w:before="100" w:beforeAutospacing="1" w:after="100" w:afterAutospacing="1" w:line="240" w:lineRule="auto"/>
              <w:ind w:right="147"/>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Нарушенные нейропсихол огические</w:t>
            </w:r>
          </w:p>
          <w:p w14:paraId="367BA2AA"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факторы</w:t>
            </w:r>
          </w:p>
        </w:tc>
        <w:tc>
          <w:tcPr>
            <w:tcW w:w="2205" w:type="dxa"/>
            <w:tcBorders>
              <w:top w:val="outset" w:sz="6" w:space="0" w:color="000001"/>
              <w:left w:val="outset" w:sz="6" w:space="0" w:color="000001"/>
              <w:bottom w:val="outset" w:sz="6" w:space="0" w:color="000001"/>
              <w:right w:val="outset" w:sz="6" w:space="0" w:color="000001"/>
            </w:tcBorders>
            <w:hideMark/>
          </w:tcPr>
          <w:p w14:paraId="401C35EA" w14:textId="77777777" w:rsidR="003A365B" w:rsidRPr="003A365B" w:rsidRDefault="003A365B" w:rsidP="003A365B">
            <w:pPr>
              <w:spacing w:before="100" w:beforeAutospacing="1" w:after="100" w:afterAutospacing="1" w:line="240" w:lineRule="auto"/>
              <w:ind w:right="369" w:firstLine="45"/>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Некоторые методики выявления нарушений</w:t>
            </w:r>
          </w:p>
        </w:tc>
        <w:tc>
          <w:tcPr>
            <w:tcW w:w="1245" w:type="dxa"/>
            <w:tcBorders>
              <w:top w:val="outset" w:sz="6" w:space="0" w:color="000001"/>
              <w:left w:val="outset" w:sz="6" w:space="0" w:color="000001"/>
              <w:bottom w:val="outset" w:sz="6" w:space="0" w:color="000001"/>
              <w:right w:val="outset" w:sz="6" w:space="0" w:color="000001"/>
            </w:tcBorders>
            <w:hideMark/>
          </w:tcPr>
          <w:p w14:paraId="154D29E7"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Times New Roman" w:eastAsia="Times New Roman" w:hAnsi="Times New Roman" w:cs="Times New Roman"/>
                <w:kern w:val="0"/>
                <w:sz w:val="20"/>
                <w:szCs w:val="20"/>
                <w:lang w:val="en-US" w:eastAsia="ru-RU"/>
                <w14:ligatures w14:val="none"/>
              </w:rPr>
              <w:t>Дополнение</w:t>
            </w:r>
          </w:p>
        </w:tc>
      </w:tr>
      <w:tr w:rsidR="003A365B" w:rsidRPr="003A365B" w14:paraId="1E776651" w14:textId="77777777" w:rsidTr="003A365B">
        <w:trPr>
          <w:trHeight w:val="1395"/>
          <w:tblCellSpacing w:w="0" w:type="dxa"/>
        </w:trPr>
        <w:tc>
          <w:tcPr>
            <w:tcW w:w="1080" w:type="dxa"/>
            <w:tcBorders>
              <w:top w:val="outset" w:sz="6" w:space="0" w:color="000001"/>
              <w:left w:val="outset" w:sz="6" w:space="0" w:color="000001"/>
              <w:bottom w:val="outset" w:sz="6" w:space="0" w:color="000001"/>
              <w:right w:val="outset" w:sz="6" w:space="0" w:color="000001"/>
            </w:tcBorders>
            <w:hideMark/>
          </w:tcPr>
          <w:p w14:paraId="498B6E18"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Слуховая речевая</w:t>
            </w:r>
          </w:p>
        </w:tc>
        <w:tc>
          <w:tcPr>
            <w:tcW w:w="1365" w:type="dxa"/>
            <w:tcBorders>
              <w:top w:val="outset" w:sz="6" w:space="0" w:color="000001"/>
              <w:left w:val="outset" w:sz="6" w:space="0" w:color="000001"/>
              <w:bottom w:val="outset" w:sz="6" w:space="0" w:color="000001"/>
              <w:right w:val="outset" w:sz="6" w:space="0" w:color="000001"/>
            </w:tcBorders>
            <w:hideMark/>
          </w:tcPr>
          <w:p w14:paraId="050B7992" w14:textId="77777777" w:rsidR="003A365B" w:rsidRPr="003A365B" w:rsidRDefault="003A365B" w:rsidP="003A365B">
            <w:pPr>
              <w:spacing w:before="100" w:beforeAutospacing="1" w:after="100" w:afterAutospacing="1" w:line="240" w:lineRule="auto"/>
              <w:ind w:right="493"/>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Агнозия на фонемы,</w:t>
            </w:r>
          </w:p>
          <w:p w14:paraId="24438A44" w14:textId="77777777" w:rsidR="003A365B" w:rsidRPr="003A365B" w:rsidRDefault="003A365B" w:rsidP="003A365B">
            <w:pPr>
              <w:spacing w:before="100" w:beforeAutospacing="1" w:after="100" w:afterAutospacing="1" w:line="240" w:lineRule="auto"/>
              <w:ind w:right="266"/>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приводящая к сенсорной</w:t>
            </w:r>
          </w:p>
          <w:p w14:paraId="4E1C1D55"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афазии</w:t>
            </w:r>
          </w:p>
          <w:p w14:paraId="279E1C6C" w14:textId="77777777" w:rsidR="003A365B" w:rsidRPr="003A365B" w:rsidRDefault="003A365B" w:rsidP="003A365B">
            <w:pPr>
              <w:spacing w:before="100" w:beforeAutospacing="1" w:after="100" w:afterAutospacing="1" w:line="240" w:lineRule="auto"/>
              <w:ind w:right="380"/>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t>(нарушению речи)</w:t>
            </w:r>
          </w:p>
        </w:tc>
        <w:tc>
          <w:tcPr>
            <w:tcW w:w="1170" w:type="dxa"/>
            <w:tcBorders>
              <w:top w:val="outset" w:sz="6" w:space="0" w:color="000001"/>
              <w:left w:val="outset" w:sz="6" w:space="0" w:color="000001"/>
              <w:bottom w:val="outset" w:sz="6" w:space="0" w:color="000001"/>
              <w:right w:val="outset" w:sz="6" w:space="0" w:color="000001"/>
            </w:tcBorders>
            <w:hideMark/>
          </w:tcPr>
          <w:p w14:paraId="77B52D34" w14:textId="77777777" w:rsidR="003A365B" w:rsidRPr="003A365B" w:rsidRDefault="003A365B" w:rsidP="003A365B">
            <w:pPr>
              <w:spacing w:before="100" w:beforeAutospacing="1" w:after="100" w:afterAutospacing="1" w:line="240" w:lineRule="auto"/>
              <w:ind w:right="425"/>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 xml:space="preserve">Височная конвекситальная кора </w:t>
            </w:r>
            <w:r w:rsidRPr="003A365B">
              <w:rPr>
                <w:rFonts w:ascii="Calibri" w:eastAsia="Times New Roman" w:hAnsi="Calibri" w:cs="Calibri"/>
                <w:b/>
                <w:bCs/>
                <w:kern w:val="0"/>
                <w:sz w:val="20"/>
                <w:szCs w:val="20"/>
                <w:lang w:eastAsia="ru-RU"/>
                <w14:ligatures w14:val="none"/>
              </w:rPr>
              <w:t xml:space="preserve">левого </w:t>
            </w:r>
            <w:r w:rsidRPr="003A365B">
              <w:rPr>
                <w:rFonts w:ascii="Calibri" w:eastAsia="Times New Roman" w:hAnsi="Calibri" w:cs="Calibri"/>
                <w:kern w:val="0"/>
                <w:sz w:val="20"/>
                <w:szCs w:val="20"/>
                <w:lang w:eastAsia="ru-RU"/>
                <w14:ligatures w14:val="none"/>
              </w:rPr>
              <w:t>полушария</w:t>
            </w:r>
          </w:p>
        </w:tc>
        <w:tc>
          <w:tcPr>
            <w:tcW w:w="1155" w:type="dxa"/>
            <w:tcBorders>
              <w:top w:val="outset" w:sz="6" w:space="0" w:color="000001"/>
              <w:left w:val="outset" w:sz="6" w:space="0" w:color="000001"/>
              <w:bottom w:val="outset" w:sz="6" w:space="0" w:color="000001"/>
              <w:right w:val="outset" w:sz="6" w:space="0" w:color="000001"/>
            </w:tcBorders>
            <w:hideMark/>
          </w:tcPr>
          <w:p w14:paraId="7C941926"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0"/>
                <w:szCs w:val="20"/>
                <w:lang w:eastAsia="ru-RU"/>
                <w14:ligatures w14:val="none"/>
              </w:rPr>
              <w:t>Модально-</w:t>
            </w:r>
          </w:p>
          <w:p w14:paraId="5895D159" w14:textId="77777777" w:rsidR="003A365B" w:rsidRPr="003A365B" w:rsidRDefault="003A365B" w:rsidP="003A365B">
            <w:pPr>
              <w:spacing w:before="100" w:beforeAutospacing="1" w:after="100" w:afterAutospacing="1" w:line="240" w:lineRule="auto"/>
              <w:ind w:right="136"/>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0"/>
                <w:szCs w:val="20"/>
                <w:lang w:eastAsia="ru-RU"/>
                <w14:ligatures w14:val="none"/>
              </w:rPr>
              <w:t>специфическ ий</w:t>
            </w:r>
          </w:p>
          <w:p w14:paraId="068D17A1" w14:textId="77777777" w:rsidR="003A365B" w:rsidRPr="003A365B" w:rsidRDefault="003A365B" w:rsidP="003A365B">
            <w:pPr>
              <w:spacing w:before="100" w:beforeAutospacing="1" w:after="100" w:afterAutospacing="1" w:line="240" w:lineRule="auto"/>
              <w:ind w:right="187"/>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0"/>
                <w:szCs w:val="20"/>
                <w:lang w:eastAsia="ru-RU"/>
                <w14:ligatures w14:val="none"/>
              </w:rPr>
              <w:t>слухоречево й</w:t>
            </w:r>
          </w:p>
        </w:tc>
        <w:tc>
          <w:tcPr>
            <w:tcW w:w="2205" w:type="dxa"/>
            <w:tcBorders>
              <w:top w:val="outset" w:sz="6" w:space="0" w:color="000001"/>
              <w:left w:val="outset" w:sz="6" w:space="0" w:color="000001"/>
              <w:bottom w:val="outset" w:sz="6" w:space="0" w:color="000001"/>
              <w:right w:val="outset" w:sz="6" w:space="0" w:color="000001"/>
            </w:tcBorders>
            <w:hideMark/>
          </w:tcPr>
          <w:p w14:paraId="6DD03C39" w14:textId="77777777" w:rsidR="003A365B" w:rsidRPr="003A365B" w:rsidRDefault="003A365B" w:rsidP="003A365B">
            <w:pPr>
              <w:spacing w:before="100" w:beforeAutospacing="1" w:after="100" w:afterAutospacing="1" w:line="240" w:lineRule="auto"/>
              <w:ind w:right="471" w:firstLine="45"/>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Пробы на понимание речи, основанное на различении фонем</w:t>
            </w:r>
          </w:p>
          <w:p w14:paraId="68A35482" w14:textId="77777777" w:rsidR="003A365B" w:rsidRPr="003A365B" w:rsidRDefault="003A365B" w:rsidP="003A365B">
            <w:pPr>
              <w:spacing w:before="100" w:beforeAutospacing="1" w:after="100" w:afterAutospacing="1" w:line="240" w:lineRule="auto"/>
              <w:ind w:right="510" w:firstLine="45"/>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 xml:space="preserve">(в частности, звуков, </w:t>
            </w:r>
            <w:r w:rsidRPr="003A365B">
              <w:rPr>
                <w:rFonts w:ascii="Calibri" w:eastAsia="Times New Roman" w:hAnsi="Calibri" w:cs="Calibri"/>
                <w:kern w:val="0"/>
                <w:sz w:val="20"/>
                <w:szCs w:val="20"/>
                <w:lang w:eastAsia="ru-RU"/>
                <w14:ligatures w14:val="none"/>
              </w:rPr>
              <w:lastRenderedPageBreak/>
              <w:t>слогов, слов, фраз).</w:t>
            </w:r>
          </w:p>
        </w:tc>
        <w:tc>
          <w:tcPr>
            <w:tcW w:w="1245" w:type="dxa"/>
            <w:vMerge w:val="restart"/>
            <w:tcBorders>
              <w:top w:val="outset" w:sz="6" w:space="0" w:color="000001"/>
              <w:left w:val="outset" w:sz="6" w:space="0" w:color="000001"/>
              <w:bottom w:val="outset" w:sz="6" w:space="0" w:color="000001"/>
              <w:right w:val="outset" w:sz="6" w:space="0" w:color="000001"/>
            </w:tcBorders>
            <w:hideMark/>
          </w:tcPr>
          <w:p w14:paraId="5CEDFE87" w14:textId="77777777" w:rsidR="003A365B" w:rsidRPr="003A365B" w:rsidRDefault="003A365B" w:rsidP="003A365B">
            <w:pPr>
              <w:spacing w:before="6" w:after="100" w:afterAutospacing="1" w:line="240" w:lineRule="auto"/>
              <w:jc w:val="both"/>
              <w:rPr>
                <w:rFonts w:ascii="Times New Roman" w:eastAsia="Times New Roman" w:hAnsi="Times New Roman" w:cs="Times New Roman"/>
                <w:kern w:val="0"/>
                <w:sz w:val="24"/>
                <w:szCs w:val="24"/>
                <w:lang w:eastAsia="ru-RU"/>
                <w14:ligatures w14:val="none"/>
              </w:rPr>
            </w:pPr>
          </w:p>
          <w:p w14:paraId="314A7230"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Нарушение восприятия и воспроизведе ния ритмов наблюдается и при право-, и при</w:t>
            </w:r>
          </w:p>
          <w:p w14:paraId="100B598E"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Calibri" w:eastAsia="Times New Roman" w:hAnsi="Calibri" w:cs="Calibri"/>
                <w:kern w:val="0"/>
                <w:sz w:val="20"/>
                <w:szCs w:val="20"/>
                <w:lang w:val="en-US" w:eastAsia="ru-RU"/>
                <w14:ligatures w14:val="none"/>
              </w:rPr>
              <w:lastRenderedPageBreak/>
              <w:t>левосторонне м височном поражении</w:t>
            </w:r>
          </w:p>
        </w:tc>
      </w:tr>
      <w:tr w:rsidR="003A365B" w:rsidRPr="003A365B" w14:paraId="14D72CE5" w14:textId="77777777" w:rsidTr="003A365B">
        <w:trPr>
          <w:trHeight w:val="930"/>
          <w:tblCellSpacing w:w="0" w:type="dxa"/>
        </w:trPr>
        <w:tc>
          <w:tcPr>
            <w:tcW w:w="1080" w:type="dxa"/>
            <w:tcBorders>
              <w:top w:val="outset" w:sz="6" w:space="0" w:color="000001"/>
              <w:left w:val="outset" w:sz="6" w:space="0" w:color="000001"/>
              <w:bottom w:val="outset" w:sz="6" w:space="0" w:color="000001"/>
              <w:right w:val="outset" w:sz="6" w:space="0" w:color="000001"/>
            </w:tcBorders>
            <w:hideMark/>
          </w:tcPr>
          <w:p w14:paraId="659D0113"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val="en-US" w:eastAsia="ru-RU"/>
                <w14:ligatures w14:val="none"/>
              </w:rPr>
            </w:pPr>
            <w:r w:rsidRPr="003A365B">
              <w:rPr>
                <w:rFonts w:ascii="Times New Roman" w:eastAsia="Times New Roman" w:hAnsi="Times New Roman" w:cs="Times New Roman"/>
                <w:kern w:val="0"/>
                <w:sz w:val="20"/>
                <w:szCs w:val="20"/>
                <w:lang w:val="en-US" w:eastAsia="ru-RU"/>
                <w14:ligatures w14:val="none"/>
              </w:rPr>
              <w:lastRenderedPageBreak/>
              <w:t>Слухо-неречевые</w:t>
            </w:r>
          </w:p>
        </w:tc>
        <w:tc>
          <w:tcPr>
            <w:tcW w:w="1365" w:type="dxa"/>
            <w:tcBorders>
              <w:top w:val="outset" w:sz="6" w:space="0" w:color="000001"/>
              <w:left w:val="outset" w:sz="6" w:space="0" w:color="000001"/>
              <w:bottom w:val="outset" w:sz="6" w:space="0" w:color="000001"/>
              <w:right w:val="outset" w:sz="6" w:space="0" w:color="000001"/>
            </w:tcBorders>
            <w:hideMark/>
          </w:tcPr>
          <w:p w14:paraId="533F12F6" w14:textId="77777777" w:rsidR="003A365B" w:rsidRPr="003A365B" w:rsidRDefault="003A365B" w:rsidP="003A365B">
            <w:pPr>
              <w:spacing w:before="100" w:beforeAutospacing="1" w:after="100" w:afterAutospacing="1" w:line="240" w:lineRule="auto"/>
              <w:ind w:right="374"/>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Предметная слуховая (на бытовые шумы)</w:t>
            </w:r>
          </w:p>
        </w:tc>
        <w:tc>
          <w:tcPr>
            <w:tcW w:w="1170" w:type="dxa"/>
            <w:tcBorders>
              <w:top w:val="outset" w:sz="6" w:space="0" w:color="000001"/>
              <w:left w:val="outset" w:sz="6" w:space="0" w:color="000001"/>
              <w:bottom w:val="outset" w:sz="6" w:space="0" w:color="000001"/>
              <w:right w:val="outset" w:sz="6" w:space="0" w:color="000001"/>
            </w:tcBorders>
            <w:hideMark/>
          </w:tcPr>
          <w:p w14:paraId="35C75823" w14:textId="77777777" w:rsidR="003A365B" w:rsidRPr="003A365B" w:rsidRDefault="003A365B" w:rsidP="003A365B">
            <w:pPr>
              <w:spacing w:before="100" w:beforeAutospacing="1" w:after="100" w:afterAutospacing="1" w:line="240" w:lineRule="auto"/>
              <w:ind w:right="425"/>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Височная конвекси-</w:t>
            </w:r>
          </w:p>
          <w:p w14:paraId="3B8CF85A"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тальная кора</w:t>
            </w:r>
          </w:p>
          <w:p w14:paraId="2A207308"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b/>
                <w:bCs/>
                <w:kern w:val="0"/>
                <w:sz w:val="20"/>
                <w:szCs w:val="20"/>
                <w:lang w:eastAsia="ru-RU"/>
                <w14:ligatures w14:val="none"/>
              </w:rPr>
              <w:t>правого</w:t>
            </w:r>
          </w:p>
          <w:p w14:paraId="39E9C7AF"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полушария</w:t>
            </w:r>
          </w:p>
        </w:tc>
        <w:tc>
          <w:tcPr>
            <w:tcW w:w="1155" w:type="dxa"/>
            <w:tcBorders>
              <w:top w:val="outset" w:sz="6" w:space="0" w:color="000001"/>
              <w:left w:val="outset" w:sz="6" w:space="0" w:color="000001"/>
              <w:bottom w:val="outset" w:sz="6" w:space="0" w:color="000001"/>
              <w:right w:val="outset" w:sz="6" w:space="0" w:color="000001"/>
            </w:tcBorders>
            <w:hideMark/>
          </w:tcPr>
          <w:p w14:paraId="589E4CE1"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0"/>
                <w:szCs w:val="20"/>
                <w:lang w:eastAsia="ru-RU"/>
                <w14:ligatures w14:val="none"/>
              </w:rPr>
              <w:t>Модально-</w:t>
            </w:r>
          </w:p>
          <w:p w14:paraId="4BF83871" w14:textId="77777777" w:rsidR="003A365B" w:rsidRPr="003A365B" w:rsidRDefault="003A365B" w:rsidP="003A365B">
            <w:pPr>
              <w:spacing w:after="100" w:afterAutospacing="1" w:line="240" w:lineRule="auto"/>
              <w:ind w:right="136"/>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0"/>
                <w:szCs w:val="20"/>
                <w:lang w:eastAsia="ru-RU"/>
                <w14:ligatures w14:val="none"/>
              </w:rPr>
              <w:t>специфическ ий слуховой неречевой</w:t>
            </w:r>
          </w:p>
        </w:tc>
        <w:tc>
          <w:tcPr>
            <w:tcW w:w="2205" w:type="dxa"/>
            <w:tcBorders>
              <w:top w:val="outset" w:sz="6" w:space="0" w:color="000001"/>
              <w:left w:val="outset" w:sz="6" w:space="0" w:color="000001"/>
              <w:bottom w:val="outset" w:sz="6" w:space="0" w:color="000001"/>
              <w:right w:val="outset" w:sz="6" w:space="0" w:color="000001"/>
            </w:tcBorders>
            <w:hideMark/>
          </w:tcPr>
          <w:p w14:paraId="0C9A25B0" w14:textId="77777777" w:rsidR="003A365B" w:rsidRPr="003A365B" w:rsidRDefault="003A365B" w:rsidP="003A365B">
            <w:pPr>
              <w:spacing w:before="100" w:beforeAutospacing="1" w:after="100" w:afterAutospacing="1" w:line="240" w:lineRule="auto"/>
              <w:ind w:right="505" w:firstLine="45"/>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Пробы на узнавание: бытовых шумов;</w:t>
            </w:r>
          </w:p>
        </w:tc>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10A4943A" w14:textId="77777777" w:rsidR="003A365B" w:rsidRPr="003A365B" w:rsidRDefault="003A365B" w:rsidP="003A365B">
            <w:pPr>
              <w:spacing w:after="0" w:line="240" w:lineRule="auto"/>
              <w:rPr>
                <w:rFonts w:ascii="Times New Roman" w:eastAsia="Times New Roman" w:hAnsi="Times New Roman" w:cs="Times New Roman"/>
                <w:kern w:val="0"/>
                <w:sz w:val="24"/>
                <w:szCs w:val="24"/>
                <w:lang w:eastAsia="ru-RU"/>
                <w14:ligatures w14:val="none"/>
              </w:rPr>
            </w:pPr>
          </w:p>
        </w:tc>
      </w:tr>
      <w:tr w:rsidR="003A365B" w:rsidRPr="003A365B" w14:paraId="28A6E26F" w14:textId="77777777" w:rsidTr="003A365B">
        <w:trPr>
          <w:trHeight w:val="600"/>
          <w:tblCellSpacing w:w="0" w:type="dxa"/>
        </w:trPr>
        <w:tc>
          <w:tcPr>
            <w:tcW w:w="1080" w:type="dxa"/>
            <w:tcBorders>
              <w:top w:val="outset" w:sz="6" w:space="0" w:color="000001"/>
              <w:left w:val="outset" w:sz="6" w:space="0" w:color="000001"/>
              <w:bottom w:val="outset" w:sz="6" w:space="0" w:color="000001"/>
              <w:right w:val="outset" w:sz="6" w:space="0" w:color="000001"/>
            </w:tcBorders>
            <w:hideMark/>
          </w:tcPr>
          <w:p w14:paraId="1DE20D08" w14:textId="77777777" w:rsidR="003A365B" w:rsidRPr="003A365B" w:rsidRDefault="003A365B" w:rsidP="003A365B">
            <w:pPr>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p>
        </w:tc>
        <w:tc>
          <w:tcPr>
            <w:tcW w:w="1365" w:type="dxa"/>
            <w:tcBorders>
              <w:top w:val="outset" w:sz="6" w:space="0" w:color="000001"/>
              <w:left w:val="outset" w:sz="6" w:space="0" w:color="000001"/>
              <w:bottom w:val="outset" w:sz="6" w:space="0" w:color="000001"/>
              <w:right w:val="outset" w:sz="6" w:space="0" w:color="000001"/>
            </w:tcBorders>
            <w:hideMark/>
          </w:tcPr>
          <w:p w14:paraId="041ABC75" w14:textId="77777777" w:rsidR="003A365B" w:rsidRPr="003A365B" w:rsidRDefault="003A365B" w:rsidP="003A365B">
            <w:pPr>
              <w:spacing w:before="100" w:beforeAutospacing="1" w:after="100" w:afterAutospacing="1" w:line="240" w:lineRule="auto"/>
              <w:ind w:right="204" w:hanging="11"/>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Агнозия на музыкальные звуки (амузия)</w:t>
            </w:r>
          </w:p>
        </w:tc>
        <w:tc>
          <w:tcPr>
            <w:tcW w:w="1170" w:type="dxa"/>
            <w:tcBorders>
              <w:top w:val="outset" w:sz="6" w:space="0" w:color="000001"/>
              <w:left w:val="outset" w:sz="6" w:space="0" w:color="000001"/>
              <w:bottom w:val="outset" w:sz="6" w:space="0" w:color="000001"/>
              <w:right w:val="outset" w:sz="6" w:space="0" w:color="000001"/>
            </w:tcBorders>
            <w:hideMark/>
          </w:tcPr>
          <w:p w14:paraId="10BC9219" w14:textId="77777777" w:rsidR="003A365B" w:rsidRPr="003A365B" w:rsidRDefault="003A365B" w:rsidP="003A365B">
            <w:pPr>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p>
        </w:tc>
        <w:tc>
          <w:tcPr>
            <w:tcW w:w="1155" w:type="dxa"/>
            <w:tcBorders>
              <w:top w:val="outset" w:sz="6" w:space="0" w:color="000001"/>
              <w:left w:val="outset" w:sz="6" w:space="0" w:color="000001"/>
              <w:bottom w:val="outset" w:sz="6" w:space="0" w:color="000001"/>
              <w:right w:val="outset" w:sz="6" w:space="0" w:color="000001"/>
            </w:tcBorders>
            <w:hideMark/>
          </w:tcPr>
          <w:p w14:paraId="2D3D8866"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p>
        </w:tc>
        <w:tc>
          <w:tcPr>
            <w:tcW w:w="2205" w:type="dxa"/>
            <w:tcBorders>
              <w:top w:val="outset" w:sz="6" w:space="0" w:color="000001"/>
              <w:left w:val="outset" w:sz="6" w:space="0" w:color="000001"/>
              <w:bottom w:val="outset" w:sz="6" w:space="0" w:color="000001"/>
              <w:right w:val="outset" w:sz="6" w:space="0" w:color="000001"/>
            </w:tcBorders>
            <w:hideMark/>
          </w:tcPr>
          <w:p w14:paraId="2CA67730" w14:textId="77777777" w:rsidR="003A365B" w:rsidRPr="003A365B" w:rsidRDefault="003A365B" w:rsidP="003A365B">
            <w:pPr>
              <w:spacing w:before="100" w:beforeAutospacing="1" w:after="100" w:afterAutospacing="1" w:line="240" w:lineRule="auto"/>
              <w:ind w:firstLine="45"/>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0"/>
                <w:szCs w:val="20"/>
                <w:lang w:eastAsia="ru-RU"/>
                <w14:ligatures w14:val="none"/>
              </w:rPr>
              <w:t>мелодий;</w:t>
            </w:r>
          </w:p>
        </w:tc>
        <w:tc>
          <w:tcPr>
            <w:tcW w:w="1245" w:type="dxa"/>
            <w:tcBorders>
              <w:top w:val="outset" w:sz="6" w:space="0" w:color="000001"/>
              <w:left w:val="outset" w:sz="6" w:space="0" w:color="000001"/>
              <w:bottom w:val="outset" w:sz="6" w:space="0" w:color="000001"/>
              <w:right w:val="outset" w:sz="6" w:space="0" w:color="000001"/>
            </w:tcBorders>
            <w:hideMark/>
          </w:tcPr>
          <w:p w14:paraId="093746E1" w14:textId="77777777" w:rsidR="003A365B" w:rsidRPr="003A365B" w:rsidRDefault="003A365B" w:rsidP="003A365B">
            <w:pPr>
              <w:spacing w:before="100" w:beforeAutospacing="1" w:after="100" w:afterAutospacing="1" w:line="240" w:lineRule="auto"/>
              <w:ind w:firstLine="709"/>
              <w:jc w:val="both"/>
              <w:rPr>
                <w:rFonts w:ascii="Times New Roman" w:eastAsia="Times New Roman" w:hAnsi="Times New Roman" w:cs="Times New Roman"/>
                <w:kern w:val="0"/>
                <w:sz w:val="24"/>
                <w:szCs w:val="24"/>
                <w:lang w:val="en-US" w:eastAsia="ru-RU"/>
                <w14:ligatures w14:val="none"/>
              </w:rPr>
            </w:pPr>
          </w:p>
        </w:tc>
      </w:tr>
      <w:tr w:rsidR="003A365B" w:rsidRPr="003A365B" w14:paraId="08955B27" w14:textId="77777777" w:rsidTr="003A365B">
        <w:trPr>
          <w:trHeight w:val="585"/>
          <w:tblCellSpacing w:w="0" w:type="dxa"/>
        </w:trPr>
        <w:tc>
          <w:tcPr>
            <w:tcW w:w="1080" w:type="dxa"/>
            <w:tcBorders>
              <w:top w:val="outset" w:sz="6" w:space="0" w:color="000001"/>
              <w:left w:val="outset" w:sz="6" w:space="0" w:color="000001"/>
              <w:bottom w:val="outset" w:sz="6" w:space="0" w:color="000001"/>
              <w:right w:val="outset" w:sz="6" w:space="0" w:color="000001"/>
            </w:tcBorders>
            <w:hideMark/>
          </w:tcPr>
          <w:p w14:paraId="254974BF" w14:textId="77777777" w:rsidR="003A365B" w:rsidRPr="003A365B" w:rsidRDefault="003A365B" w:rsidP="003A365B">
            <w:pPr>
              <w:spacing w:before="100" w:beforeAutospacing="1" w:after="100" w:afterAutospacing="1" w:line="240" w:lineRule="auto"/>
              <w:ind w:firstLine="709"/>
              <w:jc w:val="both"/>
              <w:rPr>
                <w:rFonts w:ascii="Times New Roman" w:eastAsia="Times New Roman" w:hAnsi="Times New Roman" w:cs="Times New Roman"/>
                <w:kern w:val="0"/>
                <w:sz w:val="24"/>
                <w:szCs w:val="24"/>
                <w:lang w:val="en-US" w:eastAsia="ru-RU"/>
                <w14:ligatures w14:val="none"/>
              </w:rPr>
            </w:pPr>
          </w:p>
        </w:tc>
        <w:tc>
          <w:tcPr>
            <w:tcW w:w="1365" w:type="dxa"/>
            <w:tcBorders>
              <w:top w:val="outset" w:sz="6" w:space="0" w:color="000001"/>
              <w:left w:val="outset" w:sz="6" w:space="0" w:color="000001"/>
              <w:bottom w:val="outset" w:sz="6" w:space="0" w:color="000001"/>
              <w:right w:val="outset" w:sz="6" w:space="0" w:color="000001"/>
            </w:tcBorders>
            <w:hideMark/>
          </w:tcPr>
          <w:p w14:paraId="2D21FA9E" w14:textId="508EB407" w:rsidR="003A365B" w:rsidRPr="003A365B" w:rsidRDefault="003A365B" w:rsidP="00B47F88">
            <w:pPr>
              <w:spacing w:before="100" w:beforeAutospacing="1" w:after="100" w:afterAutospacing="1" w:line="240" w:lineRule="auto"/>
              <w:ind w:right="335"/>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компонентов речи</w:t>
            </w:r>
          </w:p>
          <w:p w14:paraId="0B983FFD"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Нарушение восприятия ритмов</w:t>
            </w:r>
          </w:p>
        </w:tc>
        <w:tc>
          <w:tcPr>
            <w:tcW w:w="1170" w:type="dxa"/>
            <w:tcBorders>
              <w:top w:val="outset" w:sz="6" w:space="0" w:color="000001"/>
              <w:left w:val="outset" w:sz="6" w:space="0" w:color="000001"/>
              <w:bottom w:val="outset" w:sz="6" w:space="0" w:color="000001"/>
              <w:right w:val="outset" w:sz="6" w:space="0" w:color="000001"/>
            </w:tcBorders>
            <w:hideMark/>
          </w:tcPr>
          <w:p w14:paraId="6ADB966A" w14:textId="77777777" w:rsidR="003A365B" w:rsidRPr="003A365B" w:rsidRDefault="003A365B" w:rsidP="003A365B">
            <w:pPr>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p>
        </w:tc>
        <w:tc>
          <w:tcPr>
            <w:tcW w:w="1155" w:type="dxa"/>
            <w:tcBorders>
              <w:top w:val="outset" w:sz="6" w:space="0" w:color="000001"/>
              <w:left w:val="outset" w:sz="6" w:space="0" w:color="000001"/>
              <w:bottom w:val="outset" w:sz="6" w:space="0" w:color="000001"/>
              <w:right w:val="outset" w:sz="6" w:space="0" w:color="000001"/>
            </w:tcBorders>
            <w:hideMark/>
          </w:tcPr>
          <w:p w14:paraId="0526419E" w14:textId="77777777" w:rsidR="003A365B" w:rsidRPr="003A365B" w:rsidRDefault="003A365B" w:rsidP="003A365B">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p>
        </w:tc>
        <w:tc>
          <w:tcPr>
            <w:tcW w:w="2205" w:type="dxa"/>
            <w:tcBorders>
              <w:top w:val="outset" w:sz="6" w:space="0" w:color="000001"/>
              <w:left w:val="outset" w:sz="6" w:space="0" w:color="000001"/>
              <w:bottom w:val="outset" w:sz="6" w:space="0" w:color="000001"/>
              <w:right w:val="outset" w:sz="6" w:space="0" w:color="000001"/>
            </w:tcBorders>
            <w:hideMark/>
          </w:tcPr>
          <w:p w14:paraId="28013126" w14:textId="77777777" w:rsidR="003A365B" w:rsidRPr="003A365B" w:rsidRDefault="003A365B" w:rsidP="003A365B">
            <w:pPr>
              <w:spacing w:after="100" w:afterAutospacing="1" w:line="240" w:lineRule="auto"/>
              <w:jc w:val="both"/>
              <w:rPr>
                <w:rFonts w:ascii="Times New Roman" w:eastAsia="Times New Roman" w:hAnsi="Times New Roman" w:cs="Times New Roman"/>
                <w:kern w:val="0"/>
                <w:sz w:val="24"/>
                <w:szCs w:val="24"/>
                <w:lang w:eastAsia="ru-RU"/>
                <w14:ligatures w14:val="none"/>
              </w:rPr>
            </w:pPr>
            <w:r w:rsidRPr="003A365B">
              <w:rPr>
                <w:rFonts w:ascii="Calibri" w:eastAsia="Times New Roman" w:hAnsi="Calibri" w:cs="Calibri"/>
                <w:kern w:val="0"/>
                <w:sz w:val="20"/>
                <w:szCs w:val="20"/>
                <w:lang w:eastAsia="ru-RU"/>
                <w14:ligatures w14:val="none"/>
              </w:rPr>
              <w:t>оценка и воспроизведение ритмических структур (пробы на слухо-моторные координации).</w:t>
            </w:r>
          </w:p>
        </w:tc>
        <w:tc>
          <w:tcPr>
            <w:tcW w:w="1245" w:type="dxa"/>
            <w:tcBorders>
              <w:top w:val="outset" w:sz="6" w:space="0" w:color="000001"/>
              <w:left w:val="outset" w:sz="6" w:space="0" w:color="000001"/>
              <w:bottom w:val="outset" w:sz="6" w:space="0" w:color="000001"/>
              <w:right w:val="outset" w:sz="6" w:space="0" w:color="000001"/>
            </w:tcBorders>
            <w:hideMark/>
          </w:tcPr>
          <w:p w14:paraId="50C74B02" w14:textId="77777777" w:rsidR="003A365B" w:rsidRPr="003A365B" w:rsidRDefault="003A365B" w:rsidP="003A365B">
            <w:pPr>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p>
        </w:tc>
      </w:tr>
    </w:tbl>
    <w:p w14:paraId="64D6AF52" w14:textId="77777777" w:rsidR="003A365B" w:rsidRPr="003A365B" w:rsidRDefault="003A365B" w:rsidP="003A365B">
      <w:pPr>
        <w:spacing w:after="100" w:afterAutospacing="1" w:line="240" w:lineRule="auto"/>
        <w:ind w:firstLine="709"/>
        <w:jc w:val="both"/>
        <w:rPr>
          <w:rFonts w:ascii="Times New Roman" w:eastAsia="Times New Roman" w:hAnsi="Times New Roman" w:cs="Times New Roman"/>
          <w:kern w:val="0"/>
          <w:sz w:val="24"/>
          <w:szCs w:val="24"/>
          <w:lang w:eastAsia="ru-RU"/>
          <w14:ligatures w14:val="none"/>
        </w:rPr>
      </w:pPr>
    </w:p>
    <w:p w14:paraId="1B10D9EC" w14:textId="77777777"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u w:val="single"/>
          <w:lang w:eastAsia="ru-RU"/>
          <w14:ligatures w14:val="none"/>
        </w:rPr>
        <w:t>Речевая</w:t>
      </w:r>
      <w:r w:rsidRPr="003A365B">
        <w:rPr>
          <w:rFonts w:ascii="Times New Roman" w:eastAsia="Times New Roman" w:hAnsi="Times New Roman" w:cs="Times New Roman"/>
          <w:kern w:val="0"/>
          <w:sz w:val="24"/>
          <w:szCs w:val="24"/>
          <w:lang w:eastAsia="ru-RU"/>
          <w14:ligatures w14:val="none"/>
        </w:rPr>
        <w:t xml:space="preserve"> слуховая </w:t>
      </w:r>
      <w:r w:rsidRPr="003A365B">
        <w:rPr>
          <w:rFonts w:ascii="Times New Roman" w:eastAsia="Times New Roman" w:hAnsi="Times New Roman" w:cs="Times New Roman"/>
          <w:kern w:val="0"/>
          <w:sz w:val="24"/>
          <w:szCs w:val="24"/>
          <w:u w:val="single"/>
          <w:lang w:eastAsia="ru-RU"/>
          <w14:ligatures w14:val="none"/>
        </w:rPr>
        <w:t>агнозия</w:t>
      </w:r>
      <w:r w:rsidRPr="003A365B">
        <w:rPr>
          <w:rFonts w:ascii="Times New Roman" w:eastAsia="Times New Roman" w:hAnsi="Times New Roman" w:cs="Times New Roman"/>
          <w:kern w:val="0"/>
          <w:sz w:val="24"/>
          <w:szCs w:val="24"/>
          <w:lang w:eastAsia="ru-RU"/>
          <w14:ligatures w14:val="none"/>
        </w:rPr>
        <w:t xml:space="preserve"> - нарушение восприятия смыслоразличительных звуков речи, которые называются фонемами. Умение различать фонемы называется фонематическим слухом. Формируется у ребенка в процессе обучения пониманию устной речи. Для различения фонем нужна не только сохранность остроты слуха, но и усвоение в онтогенезе фонематического строя конкретного языка. В качестве примеров фонем русского языка можно указать:</w:t>
      </w:r>
    </w:p>
    <w:p w14:paraId="7084F33F" w14:textId="77777777" w:rsidR="003A365B" w:rsidRPr="003A365B" w:rsidRDefault="003A365B" w:rsidP="00B47F88">
      <w:pPr>
        <w:numPr>
          <w:ilvl w:val="1"/>
          <w:numId w:val="1"/>
        </w:numPr>
        <w:tabs>
          <w:tab w:val="clear" w:pos="1440"/>
          <w:tab w:val="num" w:pos="1134"/>
        </w:tabs>
        <w:spacing w:after="0" w:line="360" w:lineRule="auto"/>
        <w:ind w:left="0"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гласные звуки и их ударность,</w:t>
      </w:r>
    </w:p>
    <w:p w14:paraId="3774A0CA" w14:textId="77777777" w:rsidR="003A365B" w:rsidRPr="003A365B" w:rsidRDefault="003A365B" w:rsidP="00B47F88">
      <w:pPr>
        <w:numPr>
          <w:ilvl w:val="1"/>
          <w:numId w:val="1"/>
        </w:numPr>
        <w:tabs>
          <w:tab w:val="clear" w:pos="1440"/>
          <w:tab w:val="num" w:pos="1134"/>
        </w:tabs>
        <w:spacing w:after="0" w:line="360" w:lineRule="auto"/>
        <w:ind w:left="0"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согласные звуки, которые различаются по звонкости-глухости, твердости-мягкости (д-т, б-п, з-с),</w:t>
      </w:r>
    </w:p>
    <w:p w14:paraId="10492440" w14:textId="77777777" w:rsidR="003A365B" w:rsidRPr="003A365B" w:rsidRDefault="003A365B" w:rsidP="00B47F88">
      <w:pPr>
        <w:numPr>
          <w:ilvl w:val="1"/>
          <w:numId w:val="1"/>
        </w:numPr>
        <w:tabs>
          <w:tab w:val="clear" w:pos="1440"/>
          <w:tab w:val="num" w:pos="1134"/>
        </w:tabs>
        <w:spacing w:after="0" w:line="360" w:lineRule="auto"/>
        <w:ind w:left="0"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согласные, различающиеся по нескольким фонематическим признакам и другие.</w:t>
      </w:r>
    </w:p>
    <w:p w14:paraId="61006DEF" w14:textId="77777777" w:rsidR="003A365B" w:rsidRPr="003A365B" w:rsidRDefault="003A365B" w:rsidP="00B47F88">
      <w:pPr>
        <w:spacing w:after="0" w:line="360" w:lineRule="auto"/>
        <w:ind w:firstLine="709"/>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В свою очередь нарушение фонематического слуха приводит к возникновению системного нарушения речи, именуемого афазией. При данной локализации поражения афазия называется сенсорной или афазией Вернике.</w:t>
      </w:r>
    </w:p>
    <w:p w14:paraId="68865CFD" w14:textId="77777777" w:rsidR="003A365B" w:rsidRPr="003A365B" w:rsidRDefault="003A365B" w:rsidP="00B47F88">
      <w:pPr>
        <w:spacing w:after="0" w:line="360" w:lineRule="auto"/>
        <w:ind w:firstLine="720"/>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Нарушения фонематического слуха выявляются при использовании методик исследования речевых функций.</w:t>
      </w:r>
    </w:p>
    <w:p w14:paraId="05AA36B9" w14:textId="77777777" w:rsidR="003A365B" w:rsidRPr="003A365B" w:rsidRDefault="003A365B" w:rsidP="00B47F88">
      <w:pPr>
        <w:spacing w:after="0" w:line="360" w:lineRule="auto"/>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u w:val="single"/>
          <w:lang w:eastAsia="ru-RU"/>
          <w14:ligatures w14:val="none"/>
        </w:rPr>
        <w:t>Неречевая</w:t>
      </w:r>
      <w:r w:rsidRPr="003A365B">
        <w:rPr>
          <w:rFonts w:ascii="Times New Roman" w:eastAsia="Times New Roman" w:hAnsi="Times New Roman" w:cs="Times New Roman"/>
          <w:kern w:val="0"/>
          <w:sz w:val="24"/>
          <w:szCs w:val="24"/>
          <w:lang w:eastAsia="ru-RU"/>
          <w14:ligatures w14:val="none"/>
        </w:rPr>
        <w:t xml:space="preserve"> слуховая </w:t>
      </w:r>
      <w:r w:rsidRPr="003A365B">
        <w:rPr>
          <w:rFonts w:ascii="Times New Roman" w:eastAsia="Times New Roman" w:hAnsi="Times New Roman" w:cs="Times New Roman"/>
          <w:kern w:val="0"/>
          <w:sz w:val="24"/>
          <w:szCs w:val="24"/>
          <w:u w:val="single"/>
          <w:lang w:eastAsia="ru-RU"/>
          <w14:ligatures w14:val="none"/>
        </w:rPr>
        <w:t>агнозия</w:t>
      </w:r>
      <w:r w:rsidRPr="003A365B">
        <w:rPr>
          <w:rFonts w:ascii="Times New Roman" w:eastAsia="Times New Roman" w:hAnsi="Times New Roman" w:cs="Times New Roman"/>
          <w:kern w:val="0"/>
          <w:sz w:val="24"/>
          <w:szCs w:val="24"/>
          <w:lang w:eastAsia="ru-RU"/>
          <w14:ligatures w14:val="none"/>
        </w:rPr>
        <w:t xml:space="preserve"> может проявляться в нескольких вариантах:</w:t>
      </w:r>
    </w:p>
    <w:p w14:paraId="6E01FE64" w14:textId="77777777" w:rsidR="003A365B" w:rsidRPr="003A365B" w:rsidRDefault="003A365B" w:rsidP="00B47F88">
      <w:pPr>
        <w:numPr>
          <w:ilvl w:val="1"/>
          <w:numId w:val="2"/>
        </w:numPr>
        <w:tabs>
          <w:tab w:val="clear" w:pos="1440"/>
          <w:tab w:val="num" w:pos="1134"/>
        </w:tabs>
        <w:spacing w:after="0" w:line="360" w:lineRule="auto"/>
        <w:ind w:left="0" w:firstLine="851"/>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lastRenderedPageBreak/>
        <w:t>нарушение узнавания и восприятия знакомых бытовых шумов (скрип дверей, шум шагов и т.п.);</w:t>
      </w:r>
    </w:p>
    <w:p w14:paraId="5D894274" w14:textId="77777777" w:rsidR="003A365B" w:rsidRPr="003A365B" w:rsidRDefault="003A365B" w:rsidP="00B47F88">
      <w:pPr>
        <w:numPr>
          <w:ilvl w:val="1"/>
          <w:numId w:val="2"/>
        </w:numPr>
        <w:tabs>
          <w:tab w:val="clear" w:pos="1440"/>
          <w:tab w:val="num" w:pos="1134"/>
        </w:tabs>
        <w:spacing w:after="0" w:line="360" w:lineRule="auto"/>
        <w:ind w:left="0" w:firstLine="851"/>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нарушение узнавания и восприятия музыкальных звуков. В этом случае слухонеречевая агнозия называется амузией. У больного нарушается способность узнавать и воспроизводить знакомую или только что услышанную мелодию, а также отличать одну мелодию от другой. Больной может оценивать музыку даже как болезненное и неприятное переживание;</w:t>
      </w:r>
    </w:p>
    <w:p w14:paraId="75C74D5B" w14:textId="77777777" w:rsidR="003A365B" w:rsidRPr="003A365B" w:rsidRDefault="003A365B" w:rsidP="00B47F88">
      <w:pPr>
        <w:numPr>
          <w:ilvl w:val="1"/>
          <w:numId w:val="2"/>
        </w:numPr>
        <w:tabs>
          <w:tab w:val="clear" w:pos="1440"/>
          <w:tab w:val="num" w:pos="1134"/>
        </w:tabs>
        <w:spacing w:after="0" w:line="360" w:lineRule="auto"/>
        <w:ind w:left="0" w:firstLine="851"/>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нарушение восприятия интонационной стороны речи. Больные часто не различают интонаций чужой речи. Их собственная речь лишена интонационного разнообразия. Помимо этого характерным является нарушение «эмоционального слуха» - различение интонаций, отражающих разные эмоциональные состояния (гнев, радость и др.);</w:t>
      </w:r>
    </w:p>
    <w:p w14:paraId="79EF8781" w14:textId="77777777" w:rsidR="003A365B" w:rsidRPr="003A365B" w:rsidRDefault="003A365B" w:rsidP="00B47F88">
      <w:pPr>
        <w:numPr>
          <w:ilvl w:val="1"/>
          <w:numId w:val="2"/>
        </w:numPr>
        <w:tabs>
          <w:tab w:val="clear" w:pos="1440"/>
          <w:tab w:val="num" w:pos="1134"/>
        </w:tabs>
        <w:spacing w:after="0" w:line="360" w:lineRule="auto"/>
        <w:ind w:left="0" w:firstLine="851"/>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к данным нарушениям «примыкают» нарушения идентификации голосов по полу, возрасту, знакомости и т.д.</w:t>
      </w:r>
    </w:p>
    <w:p w14:paraId="752E4BFB" w14:textId="77777777" w:rsidR="003A365B" w:rsidRPr="003A365B" w:rsidRDefault="003A365B" w:rsidP="00B47F88">
      <w:pPr>
        <w:spacing w:after="0" w:line="360" w:lineRule="auto"/>
        <w:ind w:firstLine="720"/>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Случаи выраженной слуховой агнозии сравнительно редки, они наблюдаются при обширном поражении правой височной области или при двустороннем поражении височных областей мозга. По некоторым данным, слуховая неречевая агнозия наблюдается при поражении не только правого у правшей, но и левого полушария. Чаще встречается более стертая форма слуховых нарушений в виде дефектов слуховой памяти.</w:t>
      </w:r>
    </w:p>
    <w:p w14:paraId="0C25E096" w14:textId="77777777" w:rsidR="003A365B" w:rsidRPr="003A365B" w:rsidRDefault="003A365B" w:rsidP="00B47F88">
      <w:pPr>
        <w:spacing w:after="0" w:line="360" w:lineRule="auto"/>
        <w:ind w:firstLine="720"/>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 xml:space="preserve">Существуют </w:t>
      </w:r>
      <w:r w:rsidRPr="003A365B">
        <w:rPr>
          <w:rFonts w:ascii="Times New Roman" w:eastAsia="Times New Roman" w:hAnsi="Times New Roman" w:cs="Times New Roman"/>
          <w:kern w:val="0"/>
          <w:sz w:val="24"/>
          <w:szCs w:val="24"/>
          <w:u w:val="single"/>
          <w:lang w:eastAsia="ru-RU"/>
          <w14:ligatures w14:val="none"/>
        </w:rPr>
        <w:t>слуховые функции</w:t>
      </w:r>
      <w:r w:rsidRPr="003A365B">
        <w:rPr>
          <w:rFonts w:ascii="Times New Roman" w:eastAsia="Times New Roman" w:hAnsi="Times New Roman" w:cs="Times New Roman"/>
          <w:kern w:val="0"/>
          <w:sz w:val="24"/>
          <w:szCs w:val="24"/>
          <w:lang w:eastAsia="ru-RU"/>
          <w14:ligatures w14:val="none"/>
        </w:rPr>
        <w:t xml:space="preserve">, обеспечиваемые </w:t>
      </w:r>
      <w:r w:rsidRPr="003A365B">
        <w:rPr>
          <w:rFonts w:ascii="Times New Roman" w:eastAsia="Times New Roman" w:hAnsi="Times New Roman" w:cs="Times New Roman"/>
          <w:kern w:val="0"/>
          <w:sz w:val="24"/>
          <w:szCs w:val="24"/>
          <w:u w:val="single"/>
          <w:lang w:eastAsia="ru-RU"/>
          <w14:ligatures w14:val="none"/>
        </w:rPr>
        <w:t>совместной</w:t>
      </w:r>
      <w:r w:rsidRPr="003A365B">
        <w:rPr>
          <w:rFonts w:ascii="Times New Roman" w:eastAsia="Times New Roman" w:hAnsi="Times New Roman" w:cs="Times New Roman"/>
          <w:kern w:val="0"/>
          <w:sz w:val="24"/>
          <w:szCs w:val="24"/>
          <w:lang w:eastAsia="ru-RU"/>
          <w14:ligatures w14:val="none"/>
        </w:rPr>
        <w:t xml:space="preserve"> работой </w:t>
      </w:r>
      <w:r w:rsidRPr="003A365B">
        <w:rPr>
          <w:rFonts w:ascii="Times New Roman" w:eastAsia="Times New Roman" w:hAnsi="Times New Roman" w:cs="Times New Roman"/>
          <w:kern w:val="0"/>
          <w:sz w:val="24"/>
          <w:szCs w:val="24"/>
          <w:u w:val="single"/>
          <w:lang w:eastAsia="ru-RU"/>
          <w14:ligatures w14:val="none"/>
        </w:rPr>
        <w:t>височных</w:t>
      </w:r>
      <w:r w:rsidRPr="003A365B">
        <w:rPr>
          <w:rFonts w:ascii="Times New Roman" w:eastAsia="Times New Roman" w:hAnsi="Times New Roman" w:cs="Times New Roman"/>
          <w:kern w:val="0"/>
          <w:sz w:val="24"/>
          <w:szCs w:val="24"/>
          <w:lang w:eastAsia="ru-RU"/>
          <w14:ligatures w14:val="none"/>
        </w:rPr>
        <w:t xml:space="preserve"> отделов </w:t>
      </w:r>
      <w:r w:rsidRPr="003A365B">
        <w:rPr>
          <w:rFonts w:ascii="Times New Roman" w:eastAsia="Times New Roman" w:hAnsi="Times New Roman" w:cs="Times New Roman"/>
          <w:kern w:val="0"/>
          <w:sz w:val="24"/>
          <w:szCs w:val="24"/>
          <w:u w:val="single"/>
          <w:lang w:eastAsia="ru-RU"/>
          <w14:ligatures w14:val="none"/>
        </w:rPr>
        <w:t>левого и правого</w:t>
      </w:r>
      <w:r w:rsidRPr="003A365B">
        <w:rPr>
          <w:rFonts w:ascii="Times New Roman" w:eastAsia="Times New Roman" w:hAnsi="Times New Roman" w:cs="Times New Roman"/>
          <w:kern w:val="0"/>
          <w:sz w:val="24"/>
          <w:szCs w:val="24"/>
          <w:lang w:eastAsia="ru-RU"/>
          <w14:ligatures w14:val="none"/>
        </w:rPr>
        <w:t xml:space="preserve"> полушарий. Это - восприятие ритмических структур. Слуховой анализ ритмических структур – сложная деятельность, она связана и с моторной системой, а также с комплексом ритмических и колебательных процессов в организме и нервной системе.</w:t>
      </w:r>
    </w:p>
    <w:p w14:paraId="24258C79" w14:textId="77777777" w:rsidR="003A365B" w:rsidRPr="003A365B" w:rsidRDefault="003A365B" w:rsidP="00B47F88">
      <w:pPr>
        <w:spacing w:after="0" w:line="360" w:lineRule="auto"/>
        <w:ind w:firstLine="720"/>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Для выявления дефектов этой функции используется проба на слухомоторные координации - восприятие ритмов, их удержание в памяти и воспроизведение по инструкции или образцу.</w:t>
      </w:r>
    </w:p>
    <w:p w14:paraId="4F8AB75A" w14:textId="77777777" w:rsidR="003A365B" w:rsidRPr="003A365B" w:rsidRDefault="003A365B" w:rsidP="00B47F88">
      <w:pPr>
        <w:spacing w:after="0" w:line="360" w:lineRule="auto"/>
        <w:ind w:firstLine="720"/>
        <w:jc w:val="both"/>
        <w:rPr>
          <w:rFonts w:ascii="Times New Roman" w:eastAsia="Times New Roman" w:hAnsi="Times New Roman" w:cs="Times New Roman"/>
          <w:kern w:val="0"/>
          <w:sz w:val="24"/>
          <w:szCs w:val="24"/>
          <w:lang w:eastAsia="ru-RU"/>
          <w14:ligatures w14:val="none"/>
        </w:rPr>
      </w:pPr>
      <w:r w:rsidRPr="003A365B">
        <w:rPr>
          <w:rFonts w:ascii="Times New Roman" w:eastAsia="Times New Roman" w:hAnsi="Times New Roman" w:cs="Times New Roman"/>
          <w:kern w:val="0"/>
          <w:sz w:val="24"/>
          <w:szCs w:val="24"/>
          <w:lang w:eastAsia="ru-RU"/>
          <w14:ligatures w14:val="none"/>
        </w:rPr>
        <w:t xml:space="preserve">Таким образом, при поражении височной области </w:t>
      </w:r>
      <w:r w:rsidRPr="003A365B">
        <w:rPr>
          <w:rFonts w:ascii="Times New Roman" w:eastAsia="Times New Roman" w:hAnsi="Times New Roman" w:cs="Times New Roman"/>
          <w:kern w:val="0"/>
          <w:sz w:val="24"/>
          <w:szCs w:val="24"/>
          <w:u w:val="single"/>
          <w:lang w:eastAsia="ru-RU"/>
          <w14:ligatures w14:val="none"/>
        </w:rPr>
        <w:t>левого</w:t>
      </w:r>
      <w:r w:rsidRPr="003A365B">
        <w:rPr>
          <w:rFonts w:ascii="Times New Roman" w:eastAsia="Times New Roman" w:hAnsi="Times New Roman" w:cs="Times New Roman"/>
          <w:kern w:val="0"/>
          <w:sz w:val="24"/>
          <w:szCs w:val="24"/>
          <w:lang w:eastAsia="ru-RU"/>
          <w14:ligatures w14:val="none"/>
        </w:rPr>
        <w:t xml:space="preserve"> полушария у правшей отмечаются нарушения фонематического слуха и связанных с ним процессов (приводящих к сенсорной афазии), а также нарушение восприятия и воспроизведения ритмических структур. Поражение височной области </w:t>
      </w:r>
      <w:r w:rsidRPr="003A365B">
        <w:rPr>
          <w:rFonts w:ascii="Times New Roman" w:eastAsia="Times New Roman" w:hAnsi="Times New Roman" w:cs="Times New Roman"/>
          <w:kern w:val="0"/>
          <w:sz w:val="24"/>
          <w:szCs w:val="24"/>
          <w:u w:val="single"/>
          <w:lang w:eastAsia="ru-RU"/>
          <w14:ligatures w14:val="none"/>
        </w:rPr>
        <w:t>правого</w:t>
      </w:r>
      <w:r w:rsidRPr="003A365B">
        <w:rPr>
          <w:rFonts w:ascii="Times New Roman" w:eastAsia="Times New Roman" w:hAnsi="Times New Roman" w:cs="Times New Roman"/>
          <w:kern w:val="0"/>
          <w:sz w:val="24"/>
          <w:szCs w:val="24"/>
          <w:lang w:eastAsia="ru-RU"/>
          <w14:ligatures w14:val="none"/>
        </w:rPr>
        <w:t xml:space="preserve"> полушария у правшей ведет к нарушениям восприятия неречевой слуховой информации, а также – к нарушениям восприятия и воспроизведения ритмических структур.</w:t>
      </w:r>
    </w:p>
    <w:p w14:paraId="4F17CE4E" w14:textId="77777777" w:rsidR="00C52E7C" w:rsidRDefault="00C52E7C"/>
    <w:sectPr w:rsidR="00C52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759"/>
    <w:multiLevelType w:val="multilevel"/>
    <w:tmpl w:val="FBCEB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56700"/>
    <w:multiLevelType w:val="multilevel"/>
    <w:tmpl w:val="63C88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903235">
    <w:abstractNumId w:val="0"/>
  </w:num>
  <w:num w:numId="2" w16cid:durableId="89825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5B"/>
    <w:rsid w:val="000D6506"/>
    <w:rsid w:val="003A365B"/>
    <w:rsid w:val="00B47F88"/>
    <w:rsid w:val="00C52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FF13"/>
  <w15:chartTrackingRefBased/>
  <w15:docId w15:val="{C1DA2489-1EBE-4F18-A63F-FD49A7E0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Бэла Панеш</dc:creator>
  <cp:keywords/>
  <dc:description/>
  <cp:lastModifiedBy>Бэла Панеш</cp:lastModifiedBy>
  <cp:revision>1</cp:revision>
  <dcterms:created xsi:type="dcterms:W3CDTF">2023-09-12T10:40:00Z</dcterms:created>
  <dcterms:modified xsi:type="dcterms:W3CDTF">2023-09-12T10:55:00Z</dcterms:modified>
</cp:coreProperties>
</file>